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311ABC0" w:rsidR="005053AB" w:rsidRPr="00862CFC" w:rsidRDefault="001067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SUSTENTABLE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5381F6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D0C5A44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ACD-0908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DEF913B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7D6DE031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La intención de esta asignatura es que el egresado adopte valores y actitudes humanistas,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que lo lleven a vivir y ejercer profesionalmente de acuerdo con principios orientados hacia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la sustentabilidad, la cual es el factor medular de la dimensión filosófica del SNIT.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pretende, entonces, la formación de ciudadanos con valores de justicia social, equidad,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respeto y cuidado del entorno físico y biológico, capaces de afrontar, desde su ámbito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profesional, las necesidades emergentes del desarrollo y los desafíos que se presentan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los escenarios natural, social-cultural y económico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CEF0F13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Debido a la trascendencia de esta materia en la formación integral del estudiante 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necesario que el docente como ejemplo a seguir, participe y conozca actividades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investigación, desarrollo tecnológico, innovación, gestión, y vinculación con los sectores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sociales que pueden ser utilizados como casos de estudio de desarrollo sustentable en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localidad o región.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7B6CEFA0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Aplica una visión sustentable, en los ámbitos social, económico y ambiental que 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permitirá evaluar y disminuir el impacto de la sociedad sobre el entorno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28E4EBB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86F57F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8D83B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027159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C33ED1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DCFD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72A2A0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9AB1EB" w14:textId="77777777" w:rsidR="00EA40DC" w:rsidRPr="00862CF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4A875B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C3159E6" w:rsidR="005053AB" w:rsidRPr="00862CFC" w:rsidRDefault="00C57EF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F6EBCB4" w:rsidR="005053AB" w:rsidRPr="00862CFC" w:rsidRDefault="00C57EFA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Escenario socio-cultural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78F26FB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3.1 Sociedad, organización social</w:t>
            </w:r>
          </w:p>
          <w:p w14:paraId="29D74F11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3.2 Cultura, diversidad socio-cultural</w:t>
            </w:r>
          </w:p>
          <w:p w14:paraId="4400F786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3.2.1 Desarrollo humano</w:t>
            </w:r>
          </w:p>
          <w:p w14:paraId="742499EE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3.2.2 Índice de desarrollo humano</w:t>
            </w:r>
          </w:p>
          <w:p w14:paraId="3B323FE3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3.2.3 Índice de desarrollo social</w:t>
            </w:r>
          </w:p>
          <w:p w14:paraId="11C9CE32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3.2.4 Desarrollo urbano y rural</w:t>
            </w:r>
          </w:p>
          <w:p w14:paraId="05F808C5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3.3 Impacto de actividades humanas sobre la</w:t>
            </w:r>
          </w:p>
          <w:p w14:paraId="17750E50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naturaleza</w:t>
            </w:r>
          </w:p>
          <w:p w14:paraId="00B2D501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3.3.1Fenómenos poblacionales:</w:t>
            </w:r>
          </w:p>
          <w:p w14:paraId="54D22620" w14:textId="77777777" w:rsidR="005053AB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desertificación, migración</w:t>
            </w:r>
          </w:p>
          <w:p w14:paraId="71795330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3.4 Cambio climático global: causas y</w:t>
            </w:r>
          </w:p>
          <w:p w14:paraId="5679515F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consecuencias.</w:t>
            </w:r>
          </w:p>
          <w:p w14:paraId="073389F3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3.5 Estilos de vida y consumo</w:t>
            </w:r>
          </w:p>
          <w:p w14:paraId="5F3FD9FC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3.6 Estrategias de sustentabilidad para el</w:t>
            </w:r>
          </w:p>
          <w:p w14:paraId="2F9A86EB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escenario socio-cultural</w:t>
            </w:r>
          </w:p>
          <w:p w14:paraId="5636AE33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3.6.1 Carta de la tierra</w:t>
            </w:r>
          </w:p>
          <w:p w14:paraId="0AC5C9A6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3.6.2 Agenda 21</w:t>
            </w:r>
          </w:p>
          <w:p w14:paraId="6ED640BE" w14:textId="60D5A717" w:rsidR="00C57EFA" w:rsidRPr="00862CFC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3.6.3 Política ambiental</w:t>
            </w:r>
          </w:p>
        </w:tc>
        <w:tc>
          <w:tcPr>
            <w:tcW w:w="2599" w:type="dxa"/>
          </w:tcPr>
          <w:p w14:paraId="68DE7ED6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3.1 Utilizando la diferente bibliografía,</w:t>
            </w:r>
          </w:p>
          <w:p w14:paraId="42A5A070" w14:textId="5273B89D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conocerá los conceptos de sociedad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EFA">
              <w:rPr>
                <w:rFonts w:ascii="Arial" w:hAnsi="Arial" w:cs="Arial"/>
                <w:sz w:val="20"/>
                <w:szCs w:val="20"/>
              </w:rPr>
              <w:t>organización social relacionada con su</w:t>
            </w:r>
          </w:p>
          <w:p w14:paraId="6708B856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comunidad.</w:t>
            </w:r>
          </w:p>
          <w:p w14:paraId="1A0CE4AA" w14:textId="3BD08BCF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3.2 Mediante la consulta de textos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EFA">
              <w:rPr>
                <w:rFonts w:ascii="Arial" w:hAnsi="Arial" w:cs="Arial"/>
                <w:sz w:val="20"/>
                <w:szCs w:val="20"/>
              </w:rPr>
              <w:t>especializados en el tema, así como trabajo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EFA">
              <w:rPr>
                <w:rFonts w:ascii="Arial" w:hAnsi="Arial" w:cs="Arial"/>
                <w:sz w:val="20"/>
                <w:szCs w:val="20"/>
              </w:rPr>
              <w:t>de grupos, identifica los conceptos de</w:t>
            </w:r>
          </w:p>
          <w:p w14:paraId="03E1ADAF" w14:textId="3BA12D9A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cultura y la diversidad cultural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EFA">
              <w:rPr>
                <w:rFonts w:ascii="Arial" w:hAnsi="Arial" w:cs="Arial"/>
                <w:sz w:val="20"/>
                <w:szCs w:val="20"/>
              </w:rPr>
              <w:t>entender los valores y principios que rigen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EFA">
              <w:rPr>
                <w:rFonts w:ascii="Arial" w:hAnsi="Arial" w:cs="Arial"/>
                <w:sz w:val="20"/>
                <w:szCs w:val="20"/>
              </w:rPr>
              <w:t>el concepto de desarrollo sustentable desde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EFA">
              <w:rPr>
                <w:rFonts w:ascii="Arial" w:hAnsi="Arial" w:cs="Arial"/>
                <w:sz w:val="20"/>
                <w:szCs w:val="20"/>
              </w:rPr>
              <w:t>la perspectiva social.</w:t>
            </w:r>
          </w:p>
          <w:p w14:paraId="03D0C29B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3.3 Investigar los conceptos que rigen el</w:t>
            </w:r>
          </w:p>
          <w:p w14:paraId="2B039F1D" w14:textId="7FA2332B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estudio de poblaciones, dinámica</w:t>
            </w:r>
            <w:r w:rsidR="006307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EFA">
              <w:rPr>
                <w:rFonts w:ascii="Arial" w:hAnsi="Arial" w:cs="Arial"/>
                <w:sz w:val="20"/>
                <w:szCs w:val="20"/>
              </w:rPr>
              <w:t>poblacional, mediante el análisis de los</w:t>
            </w:r>
          </w:p>
          <w:p w14:paraId="44FBD89A" w14:textId="77777777" w:rsidR="00C57EFA" w:rsidRPr="00C57EFA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documentos oficiales, Nacionales e</w:t>
            </w:r>
          </w:p>
          <w:p w14:paraId="29B3C389" w14:textId="0CB16736" w:rsidR="005053AB" w:rsidRPr="00862CFC" w:rsidRDefault="00C57EFA" w:rsidP="00C57E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EFA">
              <w:rPr>
                <w:rFonts w:ascii="Arial" w:hAnsi="Arial" w:cs="Arial"/>
                <w:sz w:val="20"/>
                <w:szCs w:val="20"/>
              </w:rPr>
              <w:t>Internacionales.</w:t>
            </w:r>
          </w:p>
        </w:tc>
        <w:tc>
          <w:tcPr>
            <w:tcW w:w="2599" w:type="dxa"/>
          </w:tcPr>
          <w:p w14:paraId="41E0110F" w14:textId="77777777" w:rsidR="005053AB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155E33BB" w14:textId="77777777" w:rsidR="00EA40D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  <w:p w14:paraId="23B19B6C" w14:textId="59F356E3" w:rsidR="0087597D" w:rsidRPr="00862CFC" w:rsidRDefault="0087597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investigaciones</w:t>
            </w:r>
          </w:p>
        </w:tc>
        <w:tc>
          <w:tcPr>
            <w:tcW w:w="2599" w:type="dxa"/>
          </w:tcPr>
          <w:p w14:paraId="3234AA88" w14:textId="71F68350" w:rsidR="0063070E" w:rsidRPr="0063070E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070E">
              <w:rPr>
                <w:rFonts w:ascii="Arial" w:hAnsi="Arial" w:cs="Arial"/>
                <w:sz w:val="20"/>
                <w:szCs w:val="20"/>
              </w:rPr>
              <w:t>Compromiso con su medio sociocultural.</w:t>
            </w:r>
          </w:p>
          <w:p w14:paraId="04289535" w14:textId="03EE02B4" w:rsidR="0063070E" w:rsidRPr="0063070E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070E">
              <w:rPr>
                <w:rFonts w:ascii="Arial" w:hAnsi="Arial" w:cs="Arial"/>
                <w:sz w:val="20"/>
                <w:szCs w:val="20"/>
              </w:rPr>
              <w:t>Capacidad para tomar decisiones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070E">
              <w:rPr>
                <w:rFonts w:ascii="Arial" w:hAnsi="Arial" w:cs="Arial"/>
                <w:sz w:val="20"/>
                <w:szCs w:val="20"/>
              </w:rPr>
              <w:t>su ámbito profesional.</w:t>
            </w:r>
          </w:p>
          <w:p w14:paraId="23F0B58C" w14:textId="33A32625" w:rsidR="0063070E" w:rsidRPr="0063070E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070E">
              <w:rPr>
                <w:rFonts w:ascii="Arial" w:hAnsi="Arial" w:cs="Arial"/>
                <w:sz w:val="20"/>
                <w:szCs w:val="20"/>
              </w:rPr>
              <w:t>Valoración y respeto por la</w:t>
            </w:r>
          </w:p>
          <w:p w14:paraId="3B81E98E" w14:textId="6471848A" w:rsidR="005053AB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070E">
              <w:rPr>
                <w:rFonts w:ascii="Arial" w:hAnsi="Arial" w:cs="Arial"/>
                <w:sz w:val="20"/>
                <w:szCs w:val="20"/>
              </w:rPr>
              <w:t>diversidad y multiculturalidad.</w:t>
            </w:r>
          </w:p>
        </w:tc>
        <w:tc>
          <w:tcPr>
            <w:tcW w:w="2600" w:type="dxa"/>
          </w:tcPr>
          <w:p w14:paraId="57198BE6" w14:textId="128EAAB8" w:rsidR="005053AB" w:rsidRPr="00862CF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4BFB4A09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7AFAA81" w:rsidR="005053AB" w:rsidRPr="00233468" w:rsidRDefault="0063070E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cultura, diversidad socio cultural</w:t>
            </w:r>
          </w:p>
        </w:tc>
        <w:tc>
          <w:tcPr>
            <w:tcW w:w="6498" w:type="dxa"/>
          </w:tcPr>
          <w:p w14:paraId="1E770817" w14:textId="311BFCBC" w:rsidR="000300FF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09FD2ED" w:rsidR="00DE26A7" w:rsidRPr="00233468" w:rsidRDefault="0063070E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el impacto de las actividades humanas</w:t>
            </w:r>
          </w:p>
        </w:tc>
        <w:tc>
          <w:tcPr>
            <w:tcW w:w="6498" w:type="dxa"/>
          </w:tcPr>
          <w:p w14:paraId="76CEE991" w14:textId="19BB840D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051709D" w:rsidR="00DE26A7" w:rsidRPr="00233468" w:rsidRDefault="0063070E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estrategias de sustentabilidad para el escenario</w:t>
            </w:r>
          </w:p>
        </w:tc>
        <w:tc>
          <w:tcPr>
            <w:tcW w:w="6498" w:type="dxa"/>
          </w:tcPr>
          <w:p w14:paraId="60A70194" w14:textId="49C5B2B3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3DEF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61B55922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3DEF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52969F6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A,  B y parcialmente C</w:t>
            </w:r>
          </w:p>
        </w:tc>
        <w:tc>
          <w:tcPr>
            <w:tcW w:w="3249" w:type="dxa"/>
          </w:tcPr>
          <w:p w14:paraId="0C51299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3DE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0D2B878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3DE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EFB8C9D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3DEF" w:rsidRPr="00862CFC" w14:paraId="7DB6940C" w14:textId="77777777" w:rsidTr="00206F1D">
        <w:tc>
          <w:tcPr>
            <w:tcW w:w="3249" w:type="dxa"/>
          </w:tcPr>
          <w:p w14:paraId="34D87226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34E45A5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108F35B2" w:rsidR="00055465" w:rsidRPr="00106009" w:rsidRDefault="00AA29F9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21385D14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4EDF37D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7A2C087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29C0C4C6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F2F9562" w:rsidR="00055465" w:rsidRPr="00106009" w:rsidRDefault="00AA29F9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A29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contiene los temas de la competencia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C8FCA37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Proyecto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A579C1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1CE19DD4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6960D05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3F9C112F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04ADA170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Desarrollo de investigación relacionada a los temas de la competencia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134D8D74" w:rsidR="00055465" w:rsidRDefault="00AA29F9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E0CC1D3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14C0759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89428DE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60132C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Registro de entrega en tiempo de avances y entrega final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A74ABD2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8F06DE8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B53639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C200C0C" w14:textId="4748786A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Acuña, A., Aguilera, R., Aguayo, M., &amp; Azúcar, G. (2003). Conceptos básicos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medio ambie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A29F9">
              <w:rPr>
                <w:rFonts w:ascii="Arial" w:hAnsi="Arial" w:cs="Arial"/>
                <w:sz w:val="20"/>
                <w:szCs w:val="20"/>
              </w:rPr>
              <w:t>te y desarrollo sustentable. Fondo de la cooperación técnica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República Federal Alemana.</w:t>
            </w:r>
          </w:p>
          <w:p w14:paraId="747B1F1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Academia Nacional de Educación Ambiental (ANEA)</w:t>
            </w:r>
          </w:p>
          <w:p w14:paraId="3265BE5B" w14:textId="42404F0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http://anea.org.mx/Documentos.htm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14:paraId="044477AA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Agenda 21 - United Nations Division for Sustainable Development</w:t>
            </w:r>
          </w:p>
          <w:p w14:paraId="51AF56A0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http://www.un.org/esa/sustdev/documents/agenda21/index.htm</w:t>
            </w:r>
          </w:p>
          <w:p w14:paraId="4E9B15DC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Alianza Geografica. http://www.alianzageografica.org/leccion.html</w:t>
            </w:r>
          </w:p>
          <w:p w14:paraId="2EA27BA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Azqueta, O. (2002). Introducción a la economía ambiental. Madrid: Mc Graw-Hill.</w:t>
            </w:r>
          </w:p>
          <w:p w14:paraId="6C341989" w14:textId="51CD3F3C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Beltrán-Morales L.F., Urciaga-García J.L. y Ortega-Rubio A. (Eds). (2006). Desarrollo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sustentable ¿mito o realidad? Centro de Investigaciones Biológicas del Noroeste,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S.C. 272.</w:t>
            </w:r>
          </w:p>
          <w:p w14:paraId="1EEB8E80" w14:textId="7265B3DC" w:rsidR="00106009" w:rsidRPr="00862CFC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Brañes R. (2000). Manual de derecho ambiental mexicano. México, Editorial Fondo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Cultura Económica.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55242D7" w14:textId="77777777" w:rsidR="0010600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7FDB0F03" w14:textId="77777777" w:rsidR="00AA29F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</w:p>
          <w:p w14:paraId="0975D7C2" w14:textId="3D778D79" w:rsidR="00AA29F9" w:rsidRPr="00862CFC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pizarron</w:t>
            </w:r>
          </w:p>
        </w:tc>
      </w:tr>
    </w:tbl>
    <w:p w14:paraId="460D3269" w14:textId="11DBEF49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8"/>
        <w:gridCol w:w="758"/>
        <w:gridCol w:w="759"/>
        <w:gridCol w:w="759"/>
        <w:gridCol w:w="759"/>
        <w:gridCol w:w="759"/>
        <w:gridCol w:w="794"/>
        <w:gridCol w:w="794"/>
        <w:gridCol w:w="794"/>
        <w:gridCol w:w="761"/>
        <w:gridCol w:w="761"/>
        <w:gridCol w:w="761"/>
        <w:gridCol w:w="761"/>
        <w:gridCol w:w="761"/>
        <w:gridCol w:w="761"/>
        <w:gridCol w:w="761"/>
      </w:tblGrid>
      <w:tr w:rsidR="00862CFC" w:rsidRPr="00862CFC" w14:paraId="5BE371E2" w14:textId="77777777" w:rsidTr="000C31CA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3070E" w:rsidRPr="00862CFC" w14:paraId="23032042" w14:textId="77777777" w:rsidTr="000C31CA">
        <w:tc>
          <w:tcPr>
            <w:tcW w:w="961" w:type="dxa"/>
          </w:tcPr>
          <w:p w14:paraId="61B1CD54" w14:textId="7777777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7" w:colLast="9"/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4B66F330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46BFE953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60C027B3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1234D54A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3D481AB1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55085F98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5BD3EA6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43CD3087" w14:textId="6BD4543F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616CF327" w14:textId="4BB0E521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4DCC5BF2" w14:textId="7777777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63070E" w:rsidRPr="00862CFC" w:rsidRDefault="0063070E" w:rsidP="00630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862CFC" w:rsidRPr="00862CFC" w14:paraId="372291F2" w14:textId="77777777" w:rsidTr="000C31CA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0C31CA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E64EC" w14:textId="77777777" w:rsidR="00FC16FF" w:rsidRDefault="00FC16FF" w:rsidP="00862CFC">
      <w:pPr>
        <w:spacing w:after="0" w:line="240" w:lineRule="auto"/>
      </w:pPr>
      <w:r>
        <w:separator/>
      </w:r>
    </w:p>
  </w:endnote>
  <w:endnote w:type="continuationSeparator" w:id="0">
    <w:p w14:paraId="088A488F" w14:textId="77777777" w:rsidR="00FC16FF" w:rsidRDefault="00FC16F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1512E" w14:textId="77777777" w:rsidR="00FC16FF" w:rsidRDefault="00FC16FF" w:rsidP="00862CFC">
      <w:pPr>
        <w:spacing w:after="0" w:line="240" w:lineRule="auto"/>
      </w:pPr>
      <w:r>
        <w:separator/>
      </w:r>
    </w:p>
  </w:footnote>
  <w:footnote w:type="continuationSeparator" w:id="0">
    <w:p w14:paraId="50879638" w14:textId="77777777" w:rsidR="00FC16FF" w:rsidRDefault="00FC16F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FC16FF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6397214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63070E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63070E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D7D1D"/>
    <w:multiLevelType w:val="hybridMultilevel"/>
    <w:tmpl w:val="35E2A2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C31CA"/>
    <w:rsid w:val="001024C5"/>
    <w:rsid w:val="00106009"/>
    <w:rsid w:val="001067AA"/>
    <w:rsid w:val="00160D9F"/>
    <w:rsid w:val="001D7549"/>
    <w:rsid w:val="00206F1D"/>
    <w:rsid w:val="00233468"/>
    <w:rsid w:val="00293FBE"/>
    <w:rsid w:val="00373659"/>
    <w:rsid w:val="00493A2D"/>
    <w:rsid w:val="004F065B"/>
    <w:rsid w:val="005053AB"/>
    <w:rsid w:val="00536B92"/>
    <w:rsid w:val="005624BE"/>
    <w:rsid w:val="0057748F"/>
    <w:rsid w:val="00593663"/>
    <w:rsid w:val="0063070E"/>
    <w:rsid w:val="00643DEF"/>
    <w:rsid w:val="00744965"/>
    <w:rsid w:val="007A22EC"/>
    <w:rsid w:val="00824F18"/>
    <w:rsid w:val="00862CFC"/>
    <w:rsid w:val="00865C4A"/>
    <w:rsid w:val="0087597D"/>
    <w:rsid w:val="008C7776"/>
    <w:rsid w:val="009905D5"/>
    <w:rsid w:val="00992C3B"/>
    <w:rsid w:val="00A37058"/>
    <w:rsid w:val="00A676AA"/>
    <w:rsid w:val="00AA29F9"/>
    <w:rsid w:val="00AD3509"/>
    <w:rsid w:val="00AE14E7"/>
    <w:rsid w:val="00B23CAE"/>
    <w:rsid w:val="00B31A95"/>
    <w:rsid w:val="00BA5082"/>
    <w:rsid w:val="00BE7924"/>
    <w:rsid w:val="00C127DC"/>
    <w:rsid w:val="00C2069A"/>
    <w:rsid w:val="00C57EFA"/>
    <w:rsid w:val="00DC46A5"/>
    <w:rsid w:val="00DD7D08"/>
    <w:rsid w:val="00DE26A7"/>
    <w:rsid w:val="00EA40DC"/>
    <w:rsid w:val="00FC16FF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2896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2017-09-08T22:33:00Z</dcterms:created>
  <dcterms:modified xsi:type="dcterms:W3CDTF">2017-09-08T22:33:00Z</dcterms:modified>
</cp:coreProperties>
</file>